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DEB2E0" w14:textId="75B97B28" w:rsidR="004A1C37" w:rsidRPr="00B266B0" w:rsidRDefault="004A1C37" w:rsidP="004A1C37">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 xml:space="preserve">WG2 </w:t>
      </w:r>
      <w:r w:rsidRPr="00B266B0">
        <w:rPr>
          <w:noProof w:val="0"/>
          <w:sz w:val="24"/>
          <w:szCs w:val="24"/>
        </w:rPr>
        <w:t xml:space="preserve">Meeting </w:t>
      </w:r>
      <w:r w:rsidR="00D71939">
        <w:rPr>
          <w:noProof w:val="0"/>
          <w:sz w:val="24"/>
          <w:szCs w:val="24"/>
        </w:rPr>
        <w:t>#101</w:t>
      </w:r>
      <w:r w:rsidRPr="00B266B0">
        <w:rPr>
          <w:bCs/>
          <w:noProof w:val="0"/>
          <w:sz w:val="24"/>
          <w:szCs w:val="24"/>
        </w:rPr>
        <w:tab/>
      </w:r>
      <w:r w:rsidR="00360AC4" w:rsidRPr="00360AC4">
        <w:rPr>
          <w:bCs/>
          <w:noProof w:val="0"/>
          <w:sz w:val="24"/>
          <w:szCs w:val="24"/>
        </w:rPr>
        <w:t>R2-1802616</w:t>
      </w:r>
    </w:p>
    <w:p w14:paraId="6080F18C" w14:textId="74E0F460" w:rsidR="004A1C37" w:rsidRPr="00B266B0" w:rsidRDefault="00D71939" w:rsidP="00360AC4">
      <w:pPr>
        <w:pStyle w:val="Header"/>
        <w:tabs>
          <w:tab w:val="right" w:pos="9639"/>
        </w:tabs>
        <w:rPr>
          <w:bCs/>
          <w:noProof w:val="0"/>
          <w:sz w:val="24"/>
          <w:szCs w:val="24"/>
        </w:rPr>
      </w:pPr>
      <w:r>
        <w:rPr>
          <w:rFonts w:eastAsia="SimSun"/>
          <w:noProof w:val="0"/>
          <w:sz w:val="24"/>
          <w:szCs w:val="24"/>
          <w:lang w:eastAsia="zh-CN"/>
        </w:rPr>
        <w:t>Athens</w:t>
      </w:r>
      <w:r w:rsidRPr="00C24650">
        <w:rPr>
          <w:rFonts w:eastAsia="SimSun"/>
          <w:noProof w:val="0"/>
          <w:sz w:val="24"/>
          <w:szCs w:val="24"/>
          <w:lang w:eastAsia="zh-CN"/>
        </w:rPr>
        <w:t xml:space="preserve">, </w:t>
      </w:r>
      <w:r>
        <w:rPr>
          <w:rFonts w:eastAsia="SimSun"/>
          <w:noProof w:val="0"/>
          <w:sz w:val="24"/>
          <w:szCs w:val="24"/>
          <w:lang w:eastAsia="zh-CN"/>
        </w:rPr>
        <w:t>Greece</w:t>
      </w:r>
      <w:r w:rsidRPr="00C24650">
        <w:rPr>
          <w:rFonts w:eastAsia="SimSun"/>
          <w:noProof w:val="0"/>
          <w:sz w:val="24"/>
          <w:szCs w:val="24"/>
          <w:lang w:eastAsia="zh-CN"/>
        </w:rPr>
        <w:t xml:space="preserve">, </w:t>
      </w:r>
      <w:r>
        <w:rPr>
          <w:rFonts w:eastAsia="SimSun"/>
          <w:noProof w:val="0"/>
          <w:sz w:val="24"/>
          <w:szCs w:val="24"/>
          <w:lang w:eastAsia="zh-CN"/>
        </w:rPr>
        <w:t>26</w:t>
      </w:r>
      <w:r w:rsidRPr="001D28C4">
        <w:rPr>
          <w:rFonts w:eastAsia="SimSun"/>
          <w:noProof w:val="0"/>
          <w:sz w:val="24"/>
          <w:szCs w:val="24"/>
          <w:vertAlign w:val="superscript"/>
          <w:lang w:eastAsia="zh-CN"/>
        </w:rPr>
        <w:t>th</w:t>
      </w:r>
      <w:r>
        <w:rPr>
          <w:rFonts w:eastAsia="SimSun"/>
          <w:noProof w:val="0"/>
          <w:sz w:val="24"/>
          <w:szCs w:val="24"/>
          <w:lang w:eastAsia="zh-CN"/>
        </w:rPr>
        <w:t xml:space="preserve"> February – 2</w:t>
      </w:r>
      <w:r>
        <w:rPr>
          <w:rFonts w:eastAsia="SimSun"/>
          <w:noProof w:val="0"/>
          <w:sz w:val="24"/>
          <w:szCs w:val="24"/>
          <w:vertAlign w:val="superscript"/>
          <w:lang w:eastAsia="zh-CN"/>
        </w:rPr>
        <w:t>nd</w:t>
      </w:r>
      <w:r>
        <w:rPr>
          <w:rFonts w:eastAsia="SimSun"/>
          <w:noProof w:val="0"/>
          <w:sz w:val="24"/>
          <w:szCs w:val="24"/>
          <w:lang w:eastAsia="zh-CN"/>
        </w:rPr>
        <w:t xml:space="preserve"> March </w:t>
      </w:r>
      <w:r w:rsidRPr="00C24650">
        <w:rPr>
          <w:rFonts w:eastAsia="SimSun"/>
          <w:noProof w:val="0"/>
          <w:sz w:val="24"/>
          <w:szCs w:val="24"/>
          <w:lang w:eastAsia="zh-CN"/>
        </w:rPr>
        <w:t>201</w:t>
      </w:r>
      <w:r>
        <w:rPr>
          <w:rFonts w:eastAsia="SimSun"/>
          <w:noProof w:val="0"/>
          <w:sz w:val="24"/>
          <w:szCs w:val="24"/>
          <w:lang w:eastAsia="zh-CN"/>
        </w:rPr>
        <w:t>8</w:t>
      </w:r>
      <w:r w:rsidR="00360AC4">
        <w:rPr>
          <w:rFonts w:eastAsia="SimSun"/>
          <w:noProof w:val="0"/>
          <w:sz w:val="24"/>
          <w:szCs w:val="24"/>
          <w:lang w:eastAsia="zh-CN"/>
        </w:rPr>
        <w:tab/>
      </w:r>
      <w:r w:rsidR="00F2426C">
        <w:rPr>
          <w:rFonts w:eastAsia="SimSun"/>
          <w:i/>
          <w:noProof w:val="0"/>
          <w:sz w:val="24"/>
          <w:szCs w:val="24"/>
          <w:lang w:eastAsia="zh-CN"/>
        </w:rPr>
        <w:t>Update</w:t>
      </w:r>
      <w:bookmarkStart w:id="1" w:name="_GoBack"/>
      <w:bookmarkEnd w:id="1"/>
      <w:r w:rsidR="00360AC4" w:rsidRPr="00360AC4">
        <w:rPr>
          <w:rFonts w:eastAsia="SimSun"/>
          <w:i/>
          <w:noProof w:val="0"/>
          <w:sz w:val="24"/>
          <w:szCs w:val="24"/>
          <w:lang w:eastAsia="zh-CN"/>
        </w:rPr>
        <w:t xml:space="preserve"> of</w:t>
      </w:r>
      <w:r w:rsidR="00360AC4">
        <w:rPr>
          <w:rFonts w:eastAsia="SimSun"/>
          <w:noProof w:val="0"/>
          <w:sz w:val="24"/>
          <w:szCs w:val="24"/>
          <w:lang w:eastAsia="zh-CN"/>
        </w:rPr>
        <w:t xml:space="preserve"> </w:t>
      </w:r>
      <w:r w:rsidR="00360AC4" w:rsidRPr="00360AC4">
        <w:rPr>
          <w:bCs/>
          <w:i/>
          <w:noProof w:val="0"/>
          <w:sz w:val="24"/>
          <w:szCs w:val="24"/>
        </w:rPr>
        <w:t>R2-1704331</w:t>
      </w:r>
    </w:p>
    <w:p w14:paraId="2AEDA726" w14:textId="77777777" w:rsidR="00CD4C7B" w:rsidRPr="00A87D2A" w:rsidRDefault="00CD4C7B" w:rsidP="00CD4C7B">
      <w:pPr>
        <w:pStyle w:val="Header"/>
        <w:rPr>
          <w:bCs/>
          <w:noProof w:val="0"/>
          <w:sz w:val="24"/>
          <w:lang w:val="de-DE"/>
        </w:rPr>
      </w:pPr>
    </w:p>
    <w:p w14:paraId="7A321F1D" w14:textId="77777777" w:rsidR="00CD4C7B" w:rsidRPr="00A87D2A" w:rsidRDefault="00CD4C7B" w:rsidP="00CD4C7B">
      <w:pPr>
        <w:pStyle w:val="Header"/>
        <w:rPr>
          <w:bCs/>
          <w:noProof w:val="0"/>
          <w:sz w:val="24"/>
          <w:lang w:val="de-DE"/>
        </w:rPr>
      </w:pPr>
    </w:p>
    <w:p w14:paraId="6FE09238" w14:textId="0E38EB45" w:rsidR="00CD4C7B" w:rsidRPr="00A87D2A" w:rsidRDefault="00CD4C7B" w:rsidP="00CD4C7B">
      <w:pPr>
        <w:pStyle w:val="CRCoverPage"/>
        <w:tabs>
          <w:tab w:val="left" w:pos="1985"/>
        </w:tabs>
        <w:rPr>
          <w:rFonts w:cs="Arial"/>
          <w:b/>
          <w:bCs/>
          <w:sz w:val="24"/>
          <w:lang w:val="de-DE" w:eastAsia="ja-JP"/>
        </w:rPr>
      </w:pPr>
      <w:r w:rsidRPr="00A87D2A">
        <w:rPr>
          <w:rFonts w:cs="Arial"/>
          <w:b/>
          <w:bCs/>
          <w:sz w:val="24"/>
          <w:lang w:val="de-DE"/>
        </w:rPr>
        <w:t>Agenda item:</w:t>
      </w:r>
      <w:r w:rsidRPr="00A87D2A">
        <w:rPr>
          <w:rFonts w:cs="Arial"/>
          <w:b/>
          <w:bCs/>
          <w:sz w:val="24"/>
          <w:lang w:val="de-DE"/>
        </w:rPr>
        <w:tab/>
      </w:r>
      <w:r w:rsidR="0008391A">
        <w:rPr>
          <w:rFonts w:cs="Arial"/>
          <w:b/>
          <w:bCs/>
          <w:sz w:val="24"/>
        </w:rPr>
        <w:t>10.2.</w:t>
      </w:r>
      <w:r w:rsidR="00360AC4">
        <w:rPr>
          <w:rFonts w:cs="Arial"/>
          <w:b/>
          <w:bCs/>
          <w:sz w:val="24"/>
        </w:rPr>
        <w:t>7</w:t>
      </w:r>
    </w:p>
    <w:p w14:paraId="155663C2" w14:textId="470D4EF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60AC4">
        <w:rPr>
          <w:rFonts w:ascii="Arial" w:hAnsi="Arial" w:cs="Arial"/>
          <w:b/>
          <w:bCs/>
          <w:sz w:val="24"/>
        </w:rPr>
        <w:t>Nokia</w:t>
      </w:r>
      <w:r w:rsidR="00090468">
        <w:rPr>
          <w:rFonts w:ascii="Arial" w:hAnsi="Arial" w:cs="Arial"/>
          <w:b/>
          <w:bCs/>
          <w:sz w:val="24"/>
        </w:rPr>
        <w:t xml:space="preserve"> Shanghai Bell</w:t>
      </w:r>
    </w:p>
    <w:p w14:paraId="2E3DD53B" w14:textId="122D000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60AC4">
        <w:rPr>
          <w:rFonts w:ascii="Arial" w:hAnsi="Arial" w:cs="Arial"/>
          <w:b/>
          <w:bCs/>
          <w:sz w:val="24"/>
        </w:rPr>
        <w:t>ANR for SA and NSA</w:t>
      </w:r>
    </w:p>
    <w:p w14:paraId="152A046A" w14:textId="092E6ED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D0698">
        <w:rPr>
          <w:rFonts w:ascii="Arial" w:hAnsi="Arial" w:cs="Arial"/>
          <w:b/>
          <w:bCs/>
          <w:sz w:val="24"/>
        </w:rPr>
        <w:t>NR_newRAT-Core - Release 15</w:t>
      </w:r>
    </w:p>
    <w:p w14:paraId="07F81108"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2B20E10" w14:textId="77777777" w:rsidR="00CD4C7B" w:rsidRPr="006E13D1" w:rsidRDefault="00CD4C7B" w:rsidP="00CD4C7B">
      <w:pPr>
        <w:pStyle w:val="Heading1"/>
      </w:pPr>
      <w:r w:rsidRPr="006E13D1">
        <w:t>1</w:t>
      </w:r>
      <w:r w:rsidRPr="006E13D1">
        <w:tab/>
      </w:r>
      <w:r w:rsidR="0056573F">
        <w:t>Introduction</w:t>
      </w:r>
    </w:p>
    <w:p w14:paraId="3A67EE1E" w14:textId="50417AB6" w:rsidR="00F947F0" w:rsidRPr="00F947F0" w:rsidRDefault="00F947F0" w:rsidP="00F947F0">
      <w:pPr>
        <w:overflowPunct w:val="0"/>
        <w:autoSpaceDE w:val="0"/>
        <w:autoSpaceDN w:val="0"/>
        <w:adjustRightInd w:val="0"/>
        <w:textAlignment w:val="baseline"/>
        <w:rPr>
          <w:rFonts w:eastAsia="MS Mincho"/>
          <w:lang w:val="en-US" w:eastAsia="ja-JP"/>
        </w:rPr>
      </w:pPr>
      <w:r>
        <w:rPr>
          <w:rFonts w:eastAsia="MS Mincho"/>
          <w:lang w:val="en-US" w:eastAsia="ja-JP"/>
        </w:rPr>
        <w:t xml:space="preserve">The Work Item description </w:t>
      </w:r>
      <w:r>
        <w:rPr>
          <w:rFonts w:eastAsia="MS Mincho"/>
          <w:lang w:val="en-US" w:eastAsia="ja-JP"/>
        </w:rPr>
        <w:fldChar w:fldCharType="begin"/>
      </w:r>
      <w:r>
        <w:rPr>
          <w:rFonts w:eastAsia="MS Mincho"/>
          <w:lang w:val="en-US" w:eastAsia="ja-JP"/>
        </w:rPr>
        <w:instrText xml:space="preserve"> REF _Ref477512564 \r \h </w:instrText>
      </w:r>
      <w:r>
        <w:rPr>
          <w:rFonts w:eastAsia="MS Mincho"/>
          <w:lang w:val="en-US" w:eastAsia="ja-JP"/>
        </w:rPr>
      </w:r>
      <w:r>
        <w:rPr>
          <w:rFonts w:eastAsia="MS Mincho"/>
          <w:lang w:val="en-US" w:eastAsia="ja-JP"/>
        </w:rPr>
        <w:fldChar w:fldCharType="separate"/>
      </w:r>
      <w:r>
        <w:rPr>
          <w:rFonts w:eastAsia="MS Mincho"/>
          <w:lang w:val="en-US" w:eastAsia="ja-JP"/>
        </w:rPr>
        <w:t>[1]</w:t>
      </w:r>
      <w:r>
        <w:rPr>
          <w:rFonts w:eastAsia="MS Mincho"/>
          <w:lang w:val="en-US" w:eastAsia="ja-JP"/>
        </w:rPr>
        <w:fldChar w:fldCharType="end"/>
      </w:r>
      <w:r>
        <w:rPr>
          <w:rFonts w:eastAsia="MS Mincho"/>
          <w:lang w:val="en-US" w:eastAsia="ja-JP"/>
        </w:rPr>
        <w:t xml:space="preserve"> agreed during </w:t>
      </w:r>
      <w:r w:rsidR="00623267">
        <w:rPr>
          <w:rFonts w:eastAsia="MS Mincho"/>
          <w:lang w:val="en-US" w:eastAsia="ja-JP"/>
        </w:rPr>
        <w:t xml:space="preserve">RAN#75 </w:t>
      </w:r>
      <w:r>
        <w:rPr>
          <w:rFonts w:eastAsia="MS Mincho"/>
          <w:lang w:val="en-US" w:eastAsia="ja-JP"/>
        </w:rPr>
        <w:t>meeting</w:t>
      </w:r>
      <w:r w:rsidR="00C0156D">
        <w:rPr>
          <w:rFonts w:eastAsia="MS Mincho"/>
          <w:lang w:val="en-US" w:eastAsia="ja-JP"/>
        </w:rPr>
        <w:t xml:space="preserve"> includes the following mention of SON operations:</w:t>
      </w:r>
    </w:p>
    <w:tbl>
      <w:tblPr>
        <w:tblStyle w:val="TableGrid"/>
        <w:tblW w:w="0" w:type="auto"/>
        <w:tblLook w:val="04A0" w:firstRow="1" w:lastRow="0" w:firstColumn="1" w:lastColumn="0" w:noHBand="0" w:noVBand="1"/>
      </w:tblPr>
      <w:tblGrid>
        <w:gridCol w:w="9631"/>
      </w:tblGrid>
      <w:tr w:rsidR="00F947F0" w14:paraId="282E0CE8" w14:textId="77777777" w:rsidTr="007B0287">
        <w:tc>
          <w:tcPr>
            <w:tcW w:w="9631" w:type="dxa"/>
          </w:tcPr>
          <w:p w14:paraId="4026D482" w14:textId="77777777" w:rsidR="00F947F0" w:rsidRPr="00F947F0" w:rsidRDefault="00F947F0" w:rsidP="007B0287">
            <w:pPr>
              <w:overflowPunct w:val="0"/>
              <w:autoSpaceDE w:val="0"/>
              <w:autoSpaceDN w:val="0"/>
              <w:adjustRightInd w:val="0"/>
              <w:ind w:left="568" w:hanging="284"/>
              <w:textAlignment w:val="baseline"/>
              <w:rPr>
                <w:rFonts w:eastAsia="MS Mincho"/>
                <w:lang w:eastAsia="ja-JP"/>
              </w:rPr>
            </w:pPr>
            <w:r w:rsidRPr="00F947F0">
              <w:rPr>
                <w:rFonts w:eastAsia="MS Mincho"/>
                <w:lang w:eastAsia="ja-JP"/>
              </w:rPr>
              <w:t>-</w:t>
            </w:r>
            <w:r w:rsidRPr="00F947F0">
              <w:rPr>
                <w:rFonts w:eastAsia="MS Mincho"/>
                <w:lang w:eastAsia="ja-JP"/>
              </w:rPr>
              <w:tab/>
              <w:t>Support of Self-Organising Network (SON) functions, including [RAN3, RAN2]:</w:t>
            </w:r>
          </w:p>
          <w:p w14:paraId="2CB35060" w14:textId="77777777" w:rsidR="00F947F0" w:rsidRPr="00F947F0" w:rsidRDefault="00F947F0" w:rsidP="007B0287">
            <w:pPr>
              <w:overflowPunct w:val="0"/>
              <w:autoSpaceDE w:val="0"/>
              <w:autoSpaceDN w:val="0"/>
              <w:adjustRightInd w:val="0"/>
              <w:ind w:left="851" w:hanging="284"/>
              <w:textAlignment w:val="baseline"/>
              <w:rPr>
                <w:rFonts w:eastAsia="MS Mincho"/>
                <w:lang w:val="en-US" w:eastAsia="ja-JP"/>
              </w:rPr>
            </w:pPr>
            <w:r w:rsidRPr="00F947F0">
              <w:rPr>
                <w:rFonts w:eastAsia="MS Mincho"/>
                <w:lang w:val="en-US" w:eastAsia="ja-JP"/>
              </w:rPr>
              <w:t>-</w:t>
            </w:r>
            <w:r w:rsidRPr="00F947F0">
              <w:rPr>
                <w:rFonts w:eastAsia="MS Mincho"/>
                <w:lang w:val="en-US" w:eastAsia="ja-JP"/>
              </w:rPr>
              <w:tab/>
              <w:t>Automatic Neighboring Relation (ANR);</w:t>
            </w:r>
          </w:p>
          <w:p w14:paraId="761F41D9" w14:textId="77777777" w:rsidR="00F947F0" w:rsidRDefault="00F947F0" w:rsidP="007B0287">
            <w:pPr>
              <w:overflowPunct w:val="0"/>
              <w:autoSpaceDE w:val="0"/>
              <w:autoSpaceDN w:val="0"/>
              <w:adjustRightInd w:val="0"/>
              <w:ind w:left="851" w:hanging="284"/>
              <w:textAlignment w:val="baseline"/>
            </w:pPr>
            <w:r w:rsidRPr="00F947F0">
              <w:rPr>
                <w:rFonts w:eastAsia="MS Mincho"/>
                <w:lang w:val="en-US" w:eastAsia="ja-JP"/>
              </w:rPr>
              <w:t>-</w:t>
            </w:r>
            <w:r w:rsidRPr="00F947F0">
              <w:rPr>
                <w:rFonts w:eastAsia="MS Mincho"/>
                <w:lang w:val="en-US" w:eastAsia="ja-JP"/>
              </w:rPr>
              <w:tab/>
              <w:t>NG/Xx/Xn setup;</w:t>
            </w:r>
          </w:p>
        </w:tc>
      </w:tr>
    </w:tbl>
    <w:p w14:paraId="6B1EC596" w14:textId="77777777" w:rsidR="00791E6F" w:rsidRDefault="00791E6F" w:rsidP="00F947F0"/>
    <w:p w14:paraId="47D96B86" w14:textId="0CD3AB32" w:rsidR="000F5F9A" w:rsidRDefault="00BD0698" w:rsidP="000F5F9A">
      <w:r>
        <w:t xml:space="preserve">Whereas </w:t>
      </w:r>
      <w:r w:rsidR="00C0156D">
        <w:t>NG/X</w:t>
      </w:r>
      <w:r>
        <w:t>2</w:t>
      </w:r>
      <w:r w:rsidR="00C0156D">
        <w:t xml:space="preserve">/Xn setup is clearly a RAN3 issue, ANR </w:t>
      </w:r>
      <w:r w:rsidR="00314CDF">
        <w:t>h</w:t>
      </w:r>
      <w:r w:rsidR="00C0156D">
        <w:t xml:space="preserve">as some impact on UE behaviour and needs to be discussed in RAN2. </w:t>
      </w:r>
      <w:r w:rsidR="000F5F9A">
        <w:t>The topic was shortly discussed during and NR ad hoc meeting in June 2017 and the following was agreed:</w:t>
      </w:r>
    </w:p>
    <w:p w14:paraId="7AFEC25A" w14:textId="77777777" w:rsidR="000F5F9A" w:rsidRDefault="000F5F9A" w:rsidP="000F5F9A">
      <w:pPr>
        <w:pStyle w:val="Doc-text2"/>
        <w:pBdr>
          <w:top w:val="single" w:sz="4" w:space="1" w:color="auto"/>
          <w:left w:val="single" w:sz="4" w:space="4" w:color="auto"/>
          <w:bottom w:val="single" w:sz="4" w:space="1" w:color="auto"/>
          <w:right w:val="single" w:sz="4" w:space="4" w:color="auto"/>
        </w:pBdr>
        <w:tabs>
          <w:tab w:val="clear" w:pos="1622"/>
        </w:tabs>
        <w:ind w:hanging="1196"/>
      </w:pPr>
      <w:r>
        <w:t>Agreements</w:t>
      </w:r>
    </w:p>
    <w:p w14:paraId="1A72EC43" w14:textId="77777777" w:rsidR="000F5F9A" w:rsidRDefault="000F5F9A" w:rsidP="000F5F9A">
      <w:pPr>
        <w:pStyle w:val="Doc-text2"/>
        <w:pBdr>
          <w:top w:val="single" w:sz="4" w:space="1" w:color="auto"/>
          <w:left w:val="single" w:sz="4" w:space="4" w:color="auto"/>
          <w:bottom w:val="single" w:sz="4" w:space="1" w:color="auto"/>
          <w:right w:val="single" w:sz="4" w:space="4" w:color="auto"/>
        </w:pBdr>
        <w:tabs>
          <w:tab w:val="clear" w:pos="1622"/>
        </w:tabs>
        <w:ind w:left="851" w:hanging="425"/>
      </w:pPr>
      <w:r>
        <w:t>1</w:t>
      </w:r>
      <w:r>
        <w:tab/>
        <w:t>LTE inter-RAT ANR framework is extended to cover NR (target to complete this at end of Rel-15, not December 2017)</w:t>
      </w:r>
    </w:p>
    <w:p w14:paraId="45DE79AA" w14:textId="77777777" w:rsidR="000F5F9A" w:rsidRPr="00F339D7" w:rsidRDefault="000F5F9A" w:rsidP="000F5F9A">
      <w:pPr>
        <w:pStyle w:val="Doc-text2"/>
      </w:pPr>
    </w:p>
    <w:p w14:paraId="095725A6" w14:textId="70AE62DD" w:rsidR="00C0156D" w:rsidRDefault="00CB6A28" w:rsidP="00F947F0">
      <w:r>
        <w:t>In this paper we firstly discuss other scenarios where ANR should be support</w:t>
      </w:r>
      <w:r w:rsidR="00B151A3">
        <w:t>e</w:t>
      </w:r>
      <w:r>
        <w:t xml:space="preserve">d </w:t>
      </w:r>
      <w:r w:rsidR="00B151A3">
        <w:t xml:space="preserve">in our opinion and subsequently we shortly analyse </w:t>
      </w:r>
      <w:r w:rsidR="00874424">
        <w:t>how this can be achieved for both SA and NSA deloyments.</w:t>
      </w:r>
    </w:p>
    <w:p w14:paraId="5046E70D" w14:textId="77777777" w:rsidR="00BE5888" w:rsidRDefault="00BE5888" w:rsidP="00BE5888">
      <w:pPr>
        <w:pStyle w:val="Heading1"/>
      </w:pPr>
      <w:r>
        <w:t>2</w:t>
      </w:r>
      <w:r>
        <w:tab/>
        <w:t>ANR in LTE</w:t>
      </w:r>
    </w:p>
    <w:p w14:paraId="4B1ABC95" w14:textId="77777777" w:rsidR="00BE5888" w:rsidRDefault="00BE5888" w:rsidP="00BE5888">
      <w:r>
        <w:t xml:space="preserve">ANR in LTE is described in </w:t>
      </w:r>
      <w:r>
        <w:fldChar w:fldCharType="begin"/>
      </w:r>
      <w:r>
        <w:instrText xml:space="preserve"> REF _Ref477512632 \r \h </w:instrText>
      </w:r>
      <w:r>
        <w:fldChar w:fldCharType="separate"/>
      </w:r>
      <w:r>
        <w:t>[2]</w:t>
      </w:r>
      <w:r>
        <w:fldChar w:fldCharType="end"/>
      </w:r>
      <w:r>
        <w:t xml:space="preserve"> for the Stage 2. The UE tasks can be summarized in two actions:</w:t>
      </w:r>
    </w:p>
    <w:p w14:paraId="5BC17851" w14:textId="77777777" w:rsidR="00BE5888" w:rsidRDefault="00BE5888" w:rsidP="00BE5888">
      <w:pPr>
        <w:pStyle w:val="B1"/>
      </w:pPr>
      <w:r>
        <w:t>-</w:t>
      </w:r>
      <w:r>
        <w:tab/>
        <w:t>Detect and measure neighbour cells and report them to the network (also those which are unknown to the serving cell),</w:t>
      </w:r>
    </w:p>
    <w:p w14:paraId="2831B39D" w14:textId="77777777" w:rsidR="00BE5888" w:rsidRDefault="00BE5888" w:rsidP="00BE5888">
      <w:pPr>
        <w:pStyle w:val="B1"/>
      </w:pPr>
      <w:r>
        <w:t>-</w:t>
      </w:r>
      <w:r>
        <w:tab/>
        <w:t>Read neighbouring cell’s ECGI (or other identifier broadcasted by the cell) and report it to the network.</w:t>
      </w:r>
    </w:p>
    <w:p w14:paraId="15C44F00" w14:textId="77777777" w:rsidR="00BE5888" w:rsidRDefault="00BE5888" w:rsidP="00BE5888">
      <w:pPr>
        <w:pStyle w:val="B1"/>
        <w:ind w:left="0" w:firstLine="0"/>
      </w:pPr>
      <w:r>
        <w:t xml:space="preserve">The following figure from </w:t>
      </w:r>
      <w:r>
        <w:fldChar w:fldCharType="begin"/>
      </w:r>
      <w:r>
        <w:instrText xml:space="preserve"> REF _Ref477512632 \r \h </w:instrText>
      </w:r>
      <w:r>
        <w:fldChar w:fldCharType="separate"/>
      </w:r>
      <w:r>
        <w:t>[2]</w:t>
      </w:r>
      <w:r>
        <w:fldChar w:fldCharType="end"/>
      </w:r>
      <w:r>
        <w:t xml:space="preserve"> illustrates the ANR feature for inter-RAT case.</w:t>
      </w:r>
    </w:p>
    <w:bookmarkStart w:id="2" w:name="_MON_1408532341"/>
    <w:bookmarkStart w:id="3" w:name="_MON_1264352073"/>
    <w:bookmarkEnd w:id="2"/>
    <w:bookmarkEnd w:id="3"/>
    <w:bookmarkStart w:id="4" w:name="_MON_1264432208"/>
    <w:bookmarkEnd w:id="4"/>
    <w:p w14:paraId="271778FC" w14:textId="77777777" w:rsidR="00BE5888" w:rsidRPr="005132EF" w:rsidRDefault="00BE5888" w:rsidP="00BE5888">
      <w:pPr>
        <w:pStyle w:val="TH"/>
      </w:pPr>
      <w:r w:rsidRPr="005132EF">
        <w:object w:dxaOrig="9405" w:dyaOrig="6525" w14:anchorId="5530E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05pt;height:326.05pt" o:ole="">
            <v:imagedata r:id="rId12" o:title=""/>
          </v:shape>
          <o:OLEObject Type="Embed" ProgID="Word.Picture.8" ShapeID="_x0000_i1025" DrawAspect="Content" ObjectID="_1580274146" r:id="rId13"/>
        </w:object>
      </w:r>
    </w:p>
    <w:p w14:paraId="4A89280C" w14:textId="77777777" w:rsidR="00BE5888" w:rsidRPr="005132EF" w:rsidRDefault="00BE5888" w:rsidP="00BE5888">
      <w:pPr>
        <w:pStyle w:val="TF"/>
      </w:pPr>
      <w:r w:rsidRPr="005132EF">
        <w:t xml:space="preserve">Figure </w:t>
      </w:r>
      <w:r>
        <w:t>1</w:t>
      </w:r>
      <w:r w:rsidRPr="005132EF">
        <w:t>: Automatic Neighbour Relation Function</w:t>
      </w:r>
      <w:r>
        <w:t xml:space="preserve"> </w:t>
      </w:r>
      <w:r w:rsidRPr="005132EF">
        <w:t>in case of UTRAN detected cell</w:t>
      </w:r>
    </w:p>
    <w:p w14:paraId="0AD23FA9" w14:textId="77777777" w:rsidR="00BE5888" w:rsidRDefault="00BE5888" w:rsidP="00BE5888">
      <w:pPr>
        <w:pStyle w:val="B1"/>
        <w:ind w:left="0" w:firstLine="0"/>
      </w:pPr>
      <w:r>
        <w:t>Current ANR framework can be applied to intra-frequency and inter-frequency reporting for LTE. It can also apply for inter-RAT (UMTS) and WLAN, which was introduced by LWA feature. When NR is deployed, it makes sense to use UEs under LTE coverage to find the relevant neighbouring relations between LTE and NR cells.</w:t>
      </w:r>
    </w:p>
    <w:p w14:paraId="5AFBF2F1" w14:textId="5619DA71" w:rsidR="00B151A3" w:rsidRPr="006E13D1" w:rsidRDefault="00BE5888" w:rsidP="00B151A3">
      <w:pPr>
        <w:pStyle w:val="Heading1"/>
      </w:pPr>
      <w:r>
        <w:t>3</w:t>
      </w:r>
      <w:r w:rsidR="00B151A3">
        <w:tab/>
        <w:t xml:space="preserve">ANR support in </w:t>
      </w:r>
      <w:r w:rsidR="005C1555">
        <w:t>NR</w:t>
      </w:r>
    </w:p>
    <w:p w14:paraId="0EA3F1E1" w14:textId="77777777" w:rsidR="00B151A3" w:rsidRDefault="00B151A3" w:rsidP="00B151A3">
      <w:pPr>
        <w:pStyle w:val="B1"/>
        <w:ind w:left="0" w:firstLine="0"/>
      </w:pPr>
      <w:r>
        <w:t>In NR, ANR tasks for the UE should be similar and the same cases should be supported as in LTE, i.e.:</w:t>
      </w:r>
    </w:p>
    <w:p w14:paraId="4282EE8C" w14:textId="77777777" w:rsidR="00B151A3" w:rsidRDefault="00B151A3" w:rsidP="00B151A3">
      <w:pPr>
        <w:pStyle w:val="ListParagraph"/>
        <w:numPr>
          <w:ilvl w:val="0"/>
          <w:numId w:val="6"/>
        </w:numPr>
      </w:pPr>
      <w:r>
        <w:t>Intra-frequency and inter-frequency intra-NR ANR</w:t>
      </w:r>
    </w:p>
    <w:p w14:paraId="34065856" w14:textId="77777777" w:rsidR="00B151A3" w:rsidRDefault="00B151A3" w:rsidP="00B151A3">
      <w:pPr>
        <w:pStyle w:val="ListParagraph"/>
        <w:numPr>
          <w:ilvl w:val="0"/>
          <w:numId w:val="6"/>
        </w:numPr>
      </w:pPr>
      <w:r>
        <w:t>Inter-RAT ANR (covering LTE as only inter-RAT mobility towards LTE is agreed to be supported at the moment)</w:t>
      </w:r>
    </w:p>
    <w:p w14:paraId="7277AF29" w14:textId="77777777" w:rsidR="00B151A3" w:rsidRPr="00791E6F" w:rsidRDefault="00B151A3" w:rsidP="00B151A3">
      <w:r w:rsidRPr="00C25B13">
        <w:t>To achieve this</w:t>
      </w:r>
      <w:r>
        <w:t>,</w:t>
      </w:r>
      <w:r w:rsidRPr="00C25B13">
        <w:t xml:space="preserve"> it is required that UEs support proper </w:t>
      </w:r>
      <w:r>
        <w:t>ANR related tasks, similar to the ones mentioned in section 2 for LTE. It is therefore proposed to agree the following:</w:t>
      </w:r>
    </w:p>
    <w:p w14:paraId="7487A284" w14:textId="36C69050" w:rsidR="00B151A3" w:rsidRPr="00791E6F" w:rsidRDefault="00B151A3" w:rsidP="00B151A3">
      <w:pPr>
        <w:rPr>
          <w:b/>
        </w:rPr>
      </w:pPr>
      <w:r w:rsidRPr="00B1146E">
        <w:rPr>
          <w:b/>
        </w:rPr>
        <w:t xml:space="preserve">Proposal </w:t>
      </w:r>
      <w:r w:rsidR="00BE5888">
        <w:rPr>
          <w:b/>
        </w:rPr>
        <w:t>1</w:t>
      </w:r>
      <w:r w:rsidRPr="00791E6F">
        <w:rPr>
          <w:b/>
        </w:rPr>
        <w:t>: UEs served by an NR cell are capable of ANR tasks towards neighbouring NR cells (intra- and inter-frequency).</w:t>
      </w:r>
    </w:p>
    <w:p w14:paraId="12728E14" w14:textId="7C82C121" w:rsidR="00B151A3" w:rsidRDefault="00BE5888" w:rsidP="00B151A3">
      <w:pPr>
        <w:rPr>
          <w:b/>
        </w:rPr>
      </w:pPr>
      <w:r>
        <w:rPr>
          <w:b/>
        </w:rPr>
        <w:t>Proposal 2</w:t>
      </w:r>
      <w:r w:rsidR="00B151A3" w:rsidRPr="00791E6F">
        <w:rPr>
          <w:b/>
        </w:rPr>
        <w:t>: UEs served by an NR cell are capable of ANR tasks towards neighbouring LTE cells.</w:t>
      </w:r>
    </w:p>
    <w:p w14:paraId="3F381A21" w14:textId="6A078EAD" w:rsidR="00BE5888" w:rsidRDefault="00BE5888" w:rsidP="00B151A3">
      <w:r w:rsidRPr="00BE5888">
        <w:t xml:space="preserve">It should be noted </w:t>
      </w:r>
      <w:r>
        <w:t>that scenarios agreed previously (i.e. inter-RAT ANR support towards NR) and intra-RAT NR ANR functionality should work in both SA and NSA deployments.</w:t>
      </w:r>
    </w:p>
    <w:p w14:paraId="3EF97470" w14:textId="4E760041" w:rsidR="00BE5888" w:rsidRPr="00BE5888" w:rsidRDefault="004A1C68" w:rsidP="00B151A3">
      <w:pPr>
        <w:rPr>
          <w:b/>
        </w:rPr>
      </w:pPr>
      <w:r>
        <w:rPr>
          <w:b/>
        </w:rPr>
        <w:t>Proposal 3</w:t>
      </w:r>
      <w:r w:rsidR="00BE5888">
        <w:rPr>
          <w:b/>
        </w:rPr>
        <w:t xml:space="preserve">: LTE inter-RAT ANR towards NR and intra-RAT NR ANR needs to be supported in both NSA and SA deployments. </w:t>
      </w:r>
    </w:p>
    <w:p w14:paraId="78AB610A" w14:textId="1FA7655B" w:rsidR="004A1C37" w:rsidRPr="006E13D1" w:rsidRDefault="004A1C37" w:rsidP="004A1C37">
      <w:pPr>
        <w:pStyle w:val="Heading1"/>
      </w:pPr>
      <w:r>
        <w:t>4</w:t>
      </w:r>
      <w:r w:rsidR="00DA1565">
        <w:tab/>
      </w:r>
      <w:r w:rsidR="004A1C68">
        <w:t>ANR mechanism design for NR</w:t>
      </w:r>
    </w:p>
    <w:p w14:paraId="363ED390" w14:textId="60E44EBB" w:rsidR="00DE39FE" w:rsidRPr="00DE39FE" w:rsidRDefault="00B573CF" w:rsidP="00DE39FE">
      <w:r>
        <w:t xml:space="preserve">It </w:t>
      </w:r>
      <w:r w:rsidR="007B2784">
        <w:t>was already agreed previously, b</w:t>
      </w:r>
      <w:r w:rsidR="00DE39FE" w:rsidRPr="00DE39FE">
        <w:t xml:space="preserve">ased on </w:t>
      </w:r>
      <w:r w:rsidR="007B2784">
        <w:t>“</w:t>
      </w:r>
      <w:r w:rsidR="00DE39FE" w:rsidRPr="00DE39FE">
        <w:t>[99#32][NR] TP on RRM</w:t>
      </w:r>
      <w:r w:rsidR="007B2784">
        <w:t>”</w:t>
      </w:r>
      <w:r w:rsidR="00DE39FE" w:rsidRPr="00DE39FE">
        <w:t xml:space="preserve"> email discussion </w:t>
      </w:r>
      <w:r w:rsidR="007B2784">
        <w:t>that measurement configuration is used for CGI reporting, similarly as in LTE</w:t>
      </w:r>
      <w:r w:rsidR="00DE39FE" w:rsidRPr="00DE39FE">
        <w:t>:</w:t>
      </w:r>
    </w:p>
    <w:p w14:paraId="23471C0C" w14:textId="77777777" w:rsidR="00DE39FE" w:rsidRPr="00DE39FE" w:rsidRDefault="00DE39FE" w:rsidP="00DE39FE">
      <w:pPr>
        <w:pStyle w:val="ListParagraph"/>
        <w:numPr>
          <w:ilvl w:val="0"/>
          <w:numId w:val="7"/>
        </w:numPr>
      </w:pPr>
      <w:r w:rsidRPr="00DE39FE">
        <w:lastRenderedPageBreak/>
        <w:t xml:space="preserve">As in LTE, Measurement configuration is used for CGI reporting. The ASN.1 structure is FFS e.g. whether part of reportConfig or MeasObject </w:t>
      </w:r>
    </w:p>
    <w:p w14:paraId="7A0BBEF0" w14:textId="77777777" w:rsidR="00DE39FE" w:rsidRPr="00DE39FE" w:rsidRDefault="00DE39FE" w:rsidP="00DE39FE">
      <w:pPr>
        <w:pStyle w:val="ListParagraph"/>
        <w:numPr>
          <w:ilvl w:val="0"/>
          <w:numId w:val="7"/>
        </w:numPr>
      </w:pPr>
      <w:r w:rsidRPr="00DE39FE">
        <w:t>Editor’s Note in 38.331: “FFS How to support CGI reporting and whether changes are required in MeasObjectNR (e.g. introduction of cellForWhichToReportCGI)”</w:t>
      </w:r>
    </w:p>
    <w:p w14:paraId="57D89F53" w14:textId="2FA90170" w:rsidR="00DE39FE" w:rsidRDefault="00DE39FE" w:rsidP="00DE39FE">
      <w:pPr>
        <w:pStyle w:val="ListParagraph"/>
        <w:numPr>
          <w:ilvl w:val="0"/>
          <w:numId w:val="7"/>
        </w:numPr>
      </w:pPr>
      <w:r w:rsidRPr="00DE39FE">
        <w:t>Editors Note in 38.331: “FFS ASN.1 details of reportCGI.”</w:t>
      </w:r>
    </w:p>
    <w:p w14:paraId="5D003E15" w14:textId="36585E24" w:rsidR="007B2784" w:rsidRDefault="007B2784" w:rsidP="00E725F4">
      <w:r>
        <w:t>Current running RRC rapporteur CR contains the following ASN.1 structure:</w:t>
      </w:r>
    </w:p>
    <w:p w14:paraId="41E42A25" w14:textId="77777777" w:rsidR="007B2784" w:rsidRPr="007B2784" w:rsidRDefault="007B2784" w:rsidP="007B27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B2784">
        <w:rPr>
          <w:rFonts w:ascii="Courier New" w:hAnsi="Courier New"/>
          <w:noProof/>
          <w:sz w:val="16"/>
          <w:lang w:eastAsia="sv-SE"/>
        </w:rPr>
        <w:t>ReportConfigNR ::=</w:t>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color w:val="993366"/>
          <w:sz w:val="16"/>
          <w:lang w:eastAsia="sv-SE"/>
        </w:rPr>
        <w:t>SEQUENCE</w:t>
      </w:r>
      <w:r w:rsidRPr="007B2784">
        <w:rPr>
          <w:rFonts w:ascii="Courier New" w:hAnsi="Courier New"/>
          <w:noProof/>
          <w:sz w:val="16"/>
          <w:lang w:eastAsia="sv-SE"/>
        </w:rPr>
        <w:t xml:space="preserve"> {</w:t>
      </w:r>
    </w:p>
    <w:p w14:paraId="69319DD6" w14:textId="77777777" w:rsidR="007B2784" w:rsidRPr="007B2784" w:rsidRDefault="007B2784" w:rsidP="007B27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B2784">
        <w:rPr>
          <w:rFonts w:ascii="Courier New" w:hAnsi="Courier New"/>
          <w:noProof/>
          <w:sz w:val="16"/>
          <w:lang w:eastAsia="sv-SE"/>
        </w:rPr>
        <w:tab/>
        <w:t>reportType</w:t>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color w:val="993366"/>
          <w:sz w:val="16"/>
          <w:lang w:eastAsia="sv-SE"/>
        </w:rPr>
        <w:t>CHOICE</w:t>
      </w:r>
      <w:r w:rsidRPr="007B2784">
        <w:rPr>
          <w:rFonts w:ascii="Courier New" w:hAnsi="Courier New"/>
          <w:noProof/>
          <w:sz w:val="16"/>
          <w:lang w:eastAsia="sv-SE"/>
        </w:rPr>
        <w:t xml:space="preserve"> {</w:t>
      </w:r>
    </w:p>
    <w:p w14:paraId="2F811720" w14:textId="77777777" w:rsidR="007B2784" w:rsidRPr="007B2784" w:rsidRDefault="007B2784" w:rsidP="007B27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B2784">
        <w:rPr>
          <w:rFonts w:ascii="Courier New" w:hAnsi="Courier New"/>
          <w:noProof/>
          <w:sz w:val="16"/>
          <w:lang w:eastAsia="sv-SE"/>
        </w:rPr>
        <w:tab/>
      </w:r>
      <w:r w:rsidRPr="007B2784">
        <w:rPr>
          <w:rFonts w:ascii="Courier New" w:hAnsi="Courier New"/>
          <w:noProof/>
          <w:sz w:val="16"/>
          <w:lang w:eastAsia="sv-SE"/>
        </w:rPr>
        <w:tab/>
        <w:t>periodical</w:t>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sz w:val="16"/>
          <w:lang w:eastAsia="sv-SE"/>
        </w:rPr>
        <w:tab/>
        <w:t xml:space="preserve">PeriodicalReportConfig, </w:t>
      </w:r>
    </w:p>
    <w:p w14:paraId="0660EE2F" w14:textId="77777777" w:rsidR="007B2784" w:rsidRPr="007B2784" w:rsidRDefault="007B2784" w:rsidP="007B27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B2784">
        <w:rPr>
          <w:rFonts w:ascii="Courier New" w:hAnsi="Courier New"/>
          <w:noProof/>
          <w:sz w:val="16"/>
          <w:lang w:eastAsia="sv-SE"/>
        </w:rPr>
        <w:tab/>
      </w:r>
      <w:r w:rsidRPr="007B2784">
        <w:rPr>
          <w:rFonts w:ascii="Courier New" w:hAnsi="Courier New"/>
          <w:noProof/>
          <w:sz w:val="16"/>
          <w:lang w:eastAsia="sv-SE"/>
        </w:rPr>
        <w:tab/>
        <w:t>eventTriggered</w:t>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sz w:val="16"/>
          <w:lang w:eastAsia="sv-SE"/>
        </w:rPr>
        <w:tab/>
        <w:t>EventTriggerConfig,</w:t>
      </w:r>
    </w:p>
    <w:p w14:paraId="4F9E4675" w14:textId="77777777" w:rsidR="007B2784" w:rsidRPr="007B2784" w:rsidRDefault="007B2784" w:rsidP="007B27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7B2784">
        <w:rPr>
          <w:rFonts w:ascii="Courier New" w:hAnsi="Courier New"/>
          <w:noProof/>
          <w:color w:val="808080"/>
          <w:sz w:val="16"/>
          <w:lang w:eastAsia="sv-SE"/>
        </w:rPr>
        <w:t>-- reportCGI is to be completed before the end of Rel-15.</w:t>
      </w:r>
    </w:p>
    <w:p w14:paraId="0601D7FD" w14:textId="77777777" w:rsidR="007B2784" w:rsidRPr="007B2784" w:rsidRDefault="007B2784" w:rsidP="007B27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B2784">
        <w:rPr>
          <w:rFonts w:ascii="Courier New" w:hAnsi="Courier New"/>
          <w:noProof/>
          <w:sz w:val="16"/>
          <w:lang w:eastAsia="sv-SE"/>
        </w:rPr>
        <w:tab/>
      </w:r>
      <w:r w:rsidRPr="007B2784">
        <w:rPr>
          <w:rFonts w:ascii="Courier New" w:hAnsi="Courier New"/>
          <w:noProof/>
          <w:sz w:val="16"/>
          <w:lang w:eastAsia="sv-SE"/>
        </w:rPr>
        <w:tab/>
        <w:t>reportCGI</w:t>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sz w:val="16"/>
          <w:lang w:eastAsia="sv-SE"/>
        </w:rPr>
        <w:tab/>
      </w:r>
      <w:r w:rsidRPr="007B2784">
        <w:rPr>
          <w:rFonts w:ascii="Courier New" w:hAnsi="Courier New"/>
          <w:noProof/>
          <w:sz w:val="16"/>
          <w:lang w:eastAsia="sv-SE"/>
        </w:rPr>
        <w:tab/>
        <w:t>ENUMERATED {ffsTypeAndValue},</w:t>
      </w:r>
    </w:p>
    <w:p w14:paraId="0FC7C474" w14:textId="77777777" w:rsidR="007B2784" w:rsidRPr="007B2784" w:rsidRDefault="007B2784" w:rsidP="007B27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B2784">
        <w:rPr>
          <w:rFonts w:ascii="Courier New" w:hAnsi="Courier New"/>
          <w:noProof/>
          <w:sz w:val="16"/>
          <w:lang w:eastAsia="sv-SE"/>
        </w:rPr>
        <w:tab/>
      </w:r>
      <w:r w:rsidRPr="007B2784">
        <w:rPr>
          <w:rFonts w:ascii="Courier New" w:hAnsi="Courier New"/>
          <w:noProof/>
          <w:sz w:val="16"/>
          <w:lang w:eastAsia="sv-SE"/>
        </w:rPr>
        <w:tab/>
        <w:t>...</w:t>
      </w:r>
    </w:p>
    <w:p w14:paraId="7DC84AD0" w14:textId="77777777" w:rsidR="007B2784" w:rsidRPr="007B2784" w:rsidRDefault="007B2784" w:rsidP="007B27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B2784">
        <w:rPr>
          <w:rFonts w:ascii="Courier New" w:hAnsi="Courier New"/>
          <w:noProof/>
          <w:sz w:val="16"/>
          <w:lang w:eastAsia="sv-SE"/>
        </w:rPr>
        <w:tab/>
        <w:t>}</w:t>
      </w:r>
    </w:p>
    <w:p w14:paraId="5E03A7DB" w14:textId="7720631E" w:rsidR="007B2784" w:rsidRDefault="007B2784" w:rsidP="00E725F4"/>
    <w:p w14:paraId="425D5FD7" w14:textId="77777777" w:rsidR="007B2784" w:rsidRDefault="007B2784" w:rsidP="00E725F4">
      <w:r>
        <w:t xml:space="preserve">It is still to be decided how the cells to be reported should be indicated. In LTE this was done via Measurement Object, but this is not the most efficient way as it requires MO update in case CGI is to be reported. It would be simpler to take advantage of the newly defined reportCGI report type and indicate PCI of the cell to be reported via report configuration. </w:t>
      </w:r>
    </w:p>
    <w:p w14:paraId="170FF383" w14:textId="2E5DE2E7" w:rsidR="007B2784" w:rsidRDefault="007B2784" w:rsidP="00E725F4">
      <w:pPr>
        <w:rPr>
          <w:b/>
        </w:rPr>
      </w:pPr>
      <w:r>
        <w:rPr>
          <w:b/>
        </w:rPr>
        <w:t>Proposal 4: In NR, PCI of the cell for CGI reporting is indicated in report configuration of reportCGI report type.</w:t>
      </w:r>
    </w:p>
    <w:p w14:paraId="44A394CF" w14:textId="684D2CBE" w:rsidR="00CE0A11" w:rsidRDefault="00CE0A11" w:rsidP="00E725F4">
      <w:r w:rsidRPr="007B2784">
        <w:t>Another iss</w:t>
      </w:r>
      <w:r>
        <w:t>ue to be discussed is how the UE obtains the CGI of the cell to be reported.</w:t>
      </w:r>
      <w:r w:rsidRPr="00CE0A11">
        <w:t xml:space="preserve"> </w:t>
      </w:r>
      <w:r>
        <w:t>As depicted in section 2 ANR framework in LTE relies on UE reading cell global identity (CGI) from BCCH of the neighbouring cell and reporting it to its serving cell when instructed to do so. Similar approach should be used for NR, which means that CGI should be broadcast by the NR cell in System Information. The contents of System Information for NR are still being discussed, but it does not seem controversial to assume that NCGI will be part of SIB1, similarly to LTE. Therefore, it is proposed to agree the following:</w:t>
      </w:r>
    </w:p>
    <w:p w14:paraId="36FEE59C" w14:textId="19F838FE" w:rsidR="00CE0A11" w:rsidRDefault="00CE0A11" w:rsidP="00E725F4">
      <w:pPr>
        <w:rPr>
          <w:b/>
        </w:rPr>
      </w:pPr>
      <w:r>
        <w:rPr>
          <w:b/>
        </w:rPr>
        <w:t xml:space="preserve">Proposal 5: </w:t>
      </w:r>
      <w:r w:rsidR="002618ED">
        <w:rPr>
          <w:b/>
        </w:rPr>
        <w:t xml:space="preserve">NCGI for ANR purposes should be obtained by the UE from System Information broadcast by the NR cell. </w:t>
      </w:r>
    </w:p>
    <w:p w14:paraId="5A6428A3" w14:textId="150BEB87" w:rsidR="00DA1565" w:rsidRDefault="002618ED" w:rsidP="002618ED">
      <w:r>
        <w:t>This approach will not pose any issues in case of standalone NR deployments, which will always broadcast Minimum System Information. However, in case of NSA only MIB needs to be always broadcasted while NCGI will be part of SIB1, which is not broadcasted by en-gNB and provided to NSA UE via dedicated signalling upon SCG addition. For the sake of ANR support, one could either develop a dedicated solution for NSA or reuse SIB1 based approach applicable to SA. In our view, the basic ANR functionality should be common for both SA and NSA deployments and UEs and therefore propose the following:</w:t>
      </w:r>
    </w:p>
    <w:p w14:paraId="62A46351" w14:textId="13650B4F" w:rsidR="00DA1565" w:rsidRPr="00623267" w:rsidRDefault="002618ED" w:rsidP="00BF71DB">
      <w:pPr>
        <w:rPr>
          <w:b/>
        </w:rPr>
      </w:pPr>
      <w:r>
        <w:rPr>
          <w:b/>
        </w:rPr>
        <w:t xml:space="preserve">Proposal 6: NSA gNB may broadcast SIB1 for the sake of ANR feature. NSA UE should be able to read SIB1 </w:t>
      </w:r>
      <w:r w:rsidR="00874424">
        <w:rPr>
          <w:b/>
        </w:rPr>
        <w:t>broadcast by</w:t>
      </w:r>
      <w:r>
        <w:rPr>
          <w:b/>
        </w:rPr>
        <w:t xml:space="preserve"> </w:t>
      </w:r>
      <w:r w:rsidR="00874424">
        <w:rPr>
          <w:b/>
        </w:rPr>
        <w:t>NSA cell.</w:t>
      </w:r>
    </w:p>
    <w:p w14:paraId="0DBE97BF" w14:textId="22AEF306" w:rsidR="00CD4C7B" w:rsidRPr="006E13D1" w:rsidRDefault="004A1C37" w:rsidP="00CD4C7B">
      <w:pPr>
        <w:pStyle w:val="Heading1"/>
      </w:pPr>
      <w:r>
        <w:t>5</w:t>
      </w:r>
      <w:r w:rsidR="00CD4C7B" w:rsidRPr="006E13D1">
        <w:tab/>
      </w:r>
      <w:r w:rsidR="002311DA">
        <w:t>Conclusion</w:t>
      </w:r>
    </w:p>
    <w:p w14:paraId="63D024F2" w14:textId="3C90795A" w:rsidR="00CD4C7B" w:rsidRDefault="00E802EE" w:rsidP="00CD4C7B">
      <w:r>
        <w:t xml:space="preserve">In this contribution, we have discussed basic ANR related </w:t>
      </w:r>
      <w:r w:rsidR="004039BE">
        <w:t>functionality as well as the need of cell global identity presence for both SA and NSA NR deployments. Base</w:t>
      </w:r>
      <w:r w:rsidR="00CA419A">
        <w:t>d</w:t>
      </w:r>
      <w:r w:rsidR="004039BE">
        <w:t xml:space="preserve"> on the consideration</w:t>
      </w:r>
      <w:r w:rsidR="00CA419A">
        <w:t>s</w:t>
      </w:r>
      <w:r w:rsidR="004039BE">
        <w:t xml:space="preserve"> </w:t>
      </w:r>
      <w:r w:rsidR="00CA419A">
        <w:t>in</w:t>
      </w:r>
      <w:r w:rsidR="004039BE">
        <w:t xml:space="preserve"> previous sections, it is proposed to agree on the following</w:t>
      </w:r>
      <w:r>
        <w:t>:</w:t>
      </w:r>
    </w:p>
    <w:p w14:paraId="1B687008" w14:textId="77777777" w:rsidR="00874424" w:rsidRPr="00791E6F" w:rsidRDefault="00874424" w:rsidP="00874424">
      <w:pPr>
        <w:rPr>
          <w:b/>
        </w:rPr>
      </w:pPr>
      <w:r w:rsidRPr="00B1146E">
        <w:rPr>
          <w:b/>
        </w:rPr>
        <w:t xml:space="preserve">Proposal </w:t>
      </w:r>
      <w:r>
        <w:rPr>
          <w:b/>
        </w:rPr>
        <w:t>1</w:t>
      </w:r>
      <w:r w:rsidRPr="00791E6F">
        <w:rPr>
          <w:b/>
        </w:rPr>
        <w:t>: UEs served by an NR cell are capable of ANR tasks towards neighbouring NR cells (intra- and inter-frequency).</w:t>
      </w:r>
    </w:p>
    <w:p w14:paraId="109EA286" w14:textId="77777777" w:rsidR="00874424" w:rsidRDefault="00874424" w:rsidP="00874424">
      <w:pPr>
        <w:rPr>
          <w:b/>
        </w:rPr>
      </w:pPr>
      <w:r>
        <w:rPr>
          <w:b/>
        </w:rPr>
        <w:t>Proposal 2</w:t>
      </w:r>
      <w:r w:rsidRPr="00791E6F">
        <w:rPr>
          <w:b/>
        </w:rPr>
        <w:t>: UEs served by an NR cell are capable of ANR tasks towards neighbouring LTE cells.</w:t>
      </w:r>
    </w:p>
    <w:p w14:paraId="30CDAA53" w14:textId="77777777" w:rsidR="00874424" w:rsidRPr="00BE5888" w:rsidRDefault="00874424" w:rsidP="00874424">
      <w:pPr>
        <w:rPr>
          <w:b/>
        </w:rPr>
      </w:pPr>
      <w:r>
        <w:rPr>
          <w:b/>
        </w:rPr>
        <w:t xml:space="preserve">Proposal 3: LTE inter-RAT ANR towards NR and intra-RAT NR ANR needs to be supported in both NSA and SA deployments. </w:t>
      </w:r>
    </w:p>
    <w:p w14:paraId="5D0BFC1B" w14:textId="77777777" w:rsidR="00874424" w:rsidRDefault="00874424" w:rsidP="00874424">
      <w:pPr>
        <w:rPr>
          <w:b/>
        </w:rPr>
      </w:pPr>
      <w:r>
        <w:rPr>
          <w:b/>
        </w:rPr>
        <w:t>Proposal 4: In NR, PCI of the cell for CGI reporting is indicated in report configuration of reportCGI report type.</w:t>
      </w:r>
    </w:p>
    <w:p w14:paraId="2FD37C5D" w14:textId="77777777" w:rsidR="00874424" w:rsidRDefault="00874424" w:rsidP="00874424">
      <w:pPr>
        <w:rPr>
          <w:b/>
        </w:rPr>
      </w:pPr>
      <w:r>
        <w:rPr>
          <w:b/>
        </w:rPr>
        <w:t xml:space="preserve">Proposal 5: NCGI for ANR purposes should be obtained by the UE from System Information broadcast by the NR cell. </w:t>
      </w:r>
    </w:p>
    <w:p w14:paraId="5F56CC7B" w14:textId="03DC7B3A" w:rsidR="00874424" w:rsidRPr="00623267" w:rsidRDefault="00874424" w:rsidP="00874424">
      <w:pPr>
        <w:rPr>
          <w:b/>
        </w:rPr>
      </w:pPr>
      <w:r>
        <w:rPr>
          <w:b/>
        </w:rPr>
        <w:lastRenderedPageBreak/>
        <w:t>Proposal 6: NSA gNB may broadcast SIB1 for the sake of ANR feature. NSA UE should be able to read SIB1 broadcast by NSA cell.</w:t>
      </w:r>
    </w:p>
    <w:p w14:paraId="3C504279" w14:textId="77777777" w:rsidR="00CD4C7B" w:rsidRPr="006E13D1" w:rsidRDefault="00CD4C7B" w:rsidP="00CD4C7B">
      <w:pPr>
        <w:pStyle w:val="Heading1"/>
      </w:pPr>
      <w:r w:rsidRPr="006E13D1">
        <w:t>References</w:t>
      </w:r>
    </w:p>
    <w:bookmarkStart w:id="5" w:name="_Ref477512564"/>
    <w:bookmarkStart w:id="6" w:name="_Ref75086397"/>
    <w:p w14:paraId="6E12E502" w14:textId="77777777" w:rsidR="002311DA" w:rsidRPr="006E13D1" w:rsidRDefault="00431A4F" w:rsidP="00431A4F">
      <w:pPr>
        <w:numPr>
          <w:ilvl w:val="0"/>
          <w:numId w:val="4"/>
        </w:numPr>
        <w:overflowPunct w:val="0"/>
        <w:autoSpaceDE w:val="0"/>
        <w:autoSpaceDN w:val="0"/>
        <w:adjustRightInd w:val="0"/>
        <w:textAlignment w:val="baseline"/>
      </w:pPr>
      <w:r>
        <w:fldChar w:fldCharType="begin"/>
      </w:r>
      <w:r>
        <w:instrText xml:space="preserve"> HYPERLINK "http://www.3gpp.org/ftp/tsg_ran/TSG_RAN/TSGR_75/Docs/RP-170855.zip" </w:instrText>
      </w:r>
      <w:r>
        <w:fldChar w:fldCharType="separate"/>
      </w:r>
      <w:r w:rsidRPr="00431A4F">
        <w:rPr>
          <w:rStyle w:val="Hyperlink"/>
        </w:rPr>
        <w:t>RP-170855</w:t>
      </w:r>
      <w:r>
        <w:fldChar w:fldCharType="end"/>
      </w:r>
      <w:r>
        <w:t xml:space="preserve">, </w:t>
      </w:r>
      <w:r w:rsidRPr="00431A4F">
        <w:rPr>
          <w:i/>
        </w:rPr>
        <w:t>New WID on New Radio Access Technology</w:t>
      </w:r>
      <w:r>
        <w:rPr>
          <w:i/>
        </w:rPr>
        <w:t xml:space="preserve">, </w:t>
      </w:r>
      <w:r w:rsidRPr="00431A4F">
        <w:t>NTT DOCOMO, INC.</w:t>
      </w:r>
      <w:bookmarkEnd w:id="5"/>
    </w:p>
    <w:bookmarkStart w:id="7" w:name="_Ref477512632"/>
    <w:p w14:paraId="7C73A8AC" w14:textId="73AD927C" w:rsidR="00062DC4" w:rsidRPr="00CD4C7B" w:rsidRDefault="00431A4F" w:rsidP="001D78D9">
      <w:pPr>
        <w:numPr>
          <w:ilvl w:val="0"/>
          <w:numId w:val="4"/>
        </w:numPr>
        <w:overflowPunct w:val="0"/>
        <w:autoSpaceDE w:val="0"/>
        <w:autoSpaceDN w:val="0"/>
        <w:adjustRightInd w:val="0"/>
        <w:textAlignment w:val="baseline"/>
      </w:pPr>
      <w:r>
        <w:fldChar w:fldCharType="begin"/>
      </w:r>
      <w:r>
        <w:instrText xml:space="preserve"> HYPERLINK "https://portal.3gpp.org/desktopmodules/Specifications/SpecificationDetails.aspx?specificationId=2430" </w:instrText>
      </w:r>
      <w:r>
        <w:fldChar w:fldCharType="separate"/>
      </w:r>
      <w:r w:rsidR="002311DA" w:rsidRPr="00431A4F">
        <w:rPr>
          <w:rStyle w:val="Hyperlink"/>
        </w:rPr>
        <w:t>3GPP TS 36.300</w:t>
      </w:r>
      <w:r>
        <w:fldChar w:fldCharType="end"/>
      </w:r>
      <w:r w:rsidR="00062DC4">
        <w:t>,</w:t>
      </w:r>
      <w:r w:rsidR="002311DA" w:rsidRPr="006E13D1">
        <w:t xml:space="preserve"> </w:t>
      </w:r>
      <w:r w:rsidR="002311DA" w:rsidRPr="00062DC4">
        <w:rPr>
          <w:i/>
        </w:rPr>
        <w:t>Overall description; Stage 2</w:t>
      </w:r>
      <w:bookmarkEnd w:id="6"/>
      <w:bookmarkEnd w:id="7"/>
    </w:p>
    <w:sectPr w:rsidR="00062DC4"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A47A5" w14:textId="77777777" w:rsidR="00414FAF" w:rsidRDefault="00414FAF">
      <w:r>
        <w:separator/>
      </w:r>
    </w:p>
  </w:endnote>
  <w:endnote w:type="continuationSeparator" w:id="0">
    <w:p w14:paraId="349DDF9B" w14:textId="77777777" w:rsidR="00414FAF" w:rsidRDefault="00414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67273" w14:textId="77777777" w:rsidR="00414FAF" w:rsidRDefault="00414FAF">
      <w:r>
        <w:separator/>
      </w:r>
    </w:p>
  </w:footnote>
  <w:footnote w:type="continuationSeparator" w:id="0">
    <w:p w14:paraId="7ED9CD94" w14:textId="77777777" w:rsidR="00414FAF" w:rsidRDefault="00414F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075643"/>
    <w:multiLevelType w:val="hybridMultilevel"/>
    <w:tmpl w:val="31EEE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E812ED"/>
    <w:multiLevelType w:val="hybridMultilevel"/>
    <w:tmpl w:val="BBFADA0E"/>
    <w:lvl w:ilvl="0" w:tplc="98FC8A7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BF07FCC"/>
    <w:multiLevelType w:val="hybridMultilevel"/>
    <w:tmpl w:val="BDB413BE"/>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3CB"/>
    <w:rsid w:val="00027CE4"/>
    <w:rsid w:val="00033397"/>
    <w:rsid w:val="00040095"/>
    <w:rsid w:val="00051117"/>
    <w:rsid w:val="000549BF"/>
    <w:rsid w:val="00062DC4"/>
    <w:rsid w:val="00064983"/>
    <w:rsid w:val="00080512"/>
    <w:rsid w:val="000830C7"/>
    <w:rsid w:val="0008391A"/>
    <w:rsid w:val="00090468"/>
    <w:rsid w:val="000A69D9"/>
    <w:rsid w:val="000B7BCF"/>
    <w:rsid w:val="000C522B"/>
    <w:rsid w:val="000D58AB"/>
    <w:rsid w:val="000F5F9A"/>
    <w:rsid w:val="00145075"/>
    <w:rsid w:val="001741A0"/>
    <w:rsid w:val="00194CD0"/>
    <w:rsid w:val="001B49C9"/>
    <w:rsid w:val="001B6FCA"/>
    <w:rsid w:val="001D6A1A"/>
    <w:rsid w:val="001D78D9"/>
    <w:rsid w:val="001F168B"/>
    <w:rsid w:val="001F7831"/>
    <w:rsid w:val="00204045"/>
    <w:rsid w:val="002121B6"/>
    <w:rsid w:val="00215060"/>
    <w:rsid w:val="0022606D"/>
    <w:rsid w:val="002311DA"/>
    <w:rsid w:val="00261416"/>
    <w:rsid w:val="002618ED"/>
    <w:rsid w:val="002747EC"/>
    <w:rsid w:val="002753D9"/>
    <w:rsid w:val="00283DBB"/>
    <w:rsid w:val="002855BF"/>
    <w:rsid w:val="002A718B"/>
    <w:rsid w:val="002C5321"/>
    <w:rsid w:val="002D77BE"/>
    <w:rsid w:val="002F0D22"/>
    <w:rsid w:val="00312788"/>
    <w:rsid w:val="00314CDF"/>
    <w:rsid w:val="003172DC"/>
    <w:rsid w:val="00326069"/>
    <w:rsid w:val="00353FEC"/>
    <w:rsid w:val="0035462D"/>
    <w:rsid w:val="0035676E"/>
    <w:rsid w:val="003603DD"/>
    <w:rsid w:val="00360AC4"/>
    <w:rsid w:val="0038353E"/>
    <w:rsid w:val="00384527"/>
    <w:rsid w:val="00395502"/>
    <w:rsid w:val="003B40AD"/>
    <w:rsid w:val="003C4E37"/>
    <w:rsid w:val="003C61A2"/>
    <w:rsid w:val="003E16BE"/>
    <w:rsid w:val="00401855"/>
    <w:rsid w:val="004039BE"/>
    <w:rsid w:val="00414FAF"/>
    <w:rsid w:val="00431A4F"/>
    <w:rsid w:val="004338D6"/>
    <w:rsid w:val="00477455"/>
    <w:rsid w:val="004A0CF2"/>
    <w:rsid w:val="004A1C37"/>
    <w:rsid w:val="004A1C68"/>
    <w:rsid w:val="004D3578"/>
    <w:rsid w:val="004D380D"/>
    <w:rsid w:val="004E213A"/>
    <w:rsid w:val="00503171"/>
    <w:rsid w:val="00506C28"/>
    <w:rsid w:val="00534DA0"/>
    <w:rsid w:val="00543E6C"/>
    <w:rsid w:val="00547D9D"/>
    <w:rsid w:val="005629C3"/>
    <w:rsid w:val="00565087"/>
    <w:rsid w:val="0056573F"/>
    <w:rsid w:val="005C1555"/>
    <w:rsid w:val="00611566"/>
    <w:rsid w:val="00616E25"/>
    <w:rsid w:val="00623267"/>
    <w:rsid w:val="00646D99"/>
    <w:rsid w:val="00656910"/>
    <w:rsid w:val="00666FD1"/>
    <w:rsid w:val="00687111"/>
    <w:rsid w:val="00687E75"/>
    <w:rsid w:val="006B10D3"/>
    <w:rsid w:val="006B5EFA"/>
    <w:rsid w:val="006C66D8"/>
    <w:rsid w:val="006D1E24"/>
    <w:rsid w:val="006D6C2F"/>
    <w:rsid w:val="006E1417"/>
    <w:rsid w:val="006F6A2C"/>
    <w:rsid w:val="007002F5"/>
    <w:rsid w:val="00710881"/>
    <w:rsid w:val="007146EF"/>
    <w:rsid w:val="00734A5B"/>
    <w:rsid w:val="00736F36"/>
    <w:rsid w:val="00744E76"/>
    <w:rsid w:val="00753410"/>
    <w:rsid w:val="00757D40"/>
    <w:rsid w:val="00781F0F"/>
    <w:rsid w:val="0078727C"/>
    <w:rsid w:val="0079049D"/>
    <w:rsid w:val="00791E6F"/>
    <w:rsid w:val="007A437A"/>
    <w:rsid w:val="007B082E"/>
    <w:rsid w:val="007B18D8"/>
    <w:rsid w:val="007B2784"/>
    <w:rsid w:val="007C095F"/>
    <w:rsid w:val="007F5EA2"/>
    <w:rsid w:val="007F6E1C"/>
    <w:rsid w:val="008028A4"/>
    <w:rsid w:val="00813245"/>
    <w:rsid w:val="00874424"/>
    <w:rsid w:val="008768CA"/>
    <w:rsid w:val="00877EF9"/>
    <w:rsid w:val="00880559"/>
    <w:rsid w:val="008A4828"/>
    <w:rsid w:val="008B5306"/>
    <w:rsid w:val="008D5C15"/>
    <w:rsid w:val="0090271F"/>
    <w:rsid w:val="00902DB9"/>
    <w:rsid w:val="0090466A"/>
    <w:rsid w:val="00905431"/>
    <w:rsid w:val="0091610A"/>
    <w:rsid w:val="00936071"/>
    <w:rsid w:val="00940212"/>
    <w:rsid w:val="00942EC2"/>
    <w:rsid w:val="00961B32"/>
    <w:rsid w:val="00974BB0"/>
    <w:rsid w:val="009751BF"/>
    <w:rsid w:val="0098024A"/>
    <w:rsid w:val="00981550"/>
    <w:rsid w:val="009A0AF3"/>
    <w:rsid w:val="009A75F4"/>
    <w:rsid w:val="009B07CD"/>
    <w:rsid w:val="009B13B6"/>
    <w:rsid w:val="009C19E9"/>
    <w:rsid w:val="009E0F0A"/>
    <w:rsid w:val="00A10F02"/>
    <w:rsid w:val="00A204CA"/>
    <w:rsid w:val="00A227CA"/>
    <w:rsid w:val="00A42C5C"/>
    <w:rsid w:val="00A53724"/>
    <w:rsid w:val="00A61856"/>
    <w:rsid w:val="00A76573"/>
    <w:rsid w:val="00A82346"/>
    <w:rsid w:val="00A87D2A"/>
    <w:rsid w:val="00A9671C"/>
    <w:rsid w:val="00A97BE4"/>
    <w:rsid w:val="00AA096A"/>
    <w:rsid w:val="00AA1553"/>
    <w:rsid w:val="00AD6A89"/>
    <w:rsid w:val="00B1146E"/>
    <w:rsid w:val="00B151A3"/>
    <w:rsid w:val="00B15449"/>
    <w:rsid w:val="00B47FD1"/>
    <w:rsid w:val="00B516BB"/>
    <w:rsid w:val="00B573CF"/>
    <w:rsid w:val="00B9639F"/>
    <w:rsid w:val="00BB07D9"/>
    <w:rsid w:val="00BD0698"/>
    <w:rsid w:val="00BE5888"/>
    <w:rsid w:val="00BF71DB"/>
    <w:rsid w:val="00C0156D"/>
    <w:rsid w:val="00C12B51"/>
    <w:rsid w:val="00C24650"/>
    <w:rsid w:val="00C25B13"/>
    <w:rsid w:val="00C32390"/>
    <w:rsid w:val="00C33079"/>
    <w:rsid w:val="00C83A13"/>
    <w:rsid w:val="00C83FE0"/>
    <w:rsid w:val="00C92967"/>
    <w:rsid w:val="00CA3D0C"/>
    <w:rsid w:val="00CA419A"/>
    <w:rsid w:val="00CA654B"/>
    <w:rsid w:val="00CB6A28"/>
    <w:rsid w:val="00CD1A2E"/>
    <w:rsid w:val="00CD4C7B"/>
    <w:rsid w:val="00CE0A11"/>
    <w:rsid w:val="00D060B9"/>
    <w:rsid w:val="00D4374B"/>
    <w:rsid w:val="00D71939"/>
    <w:rsid w:val="00D738D6"/>
    <w:rsid w:val="00D80795"/>
    <w:rsid w:val="00D87E00"/>
    <w:rsid w:val="00D9134D"/>
    <w:rsid w:val="00D96D11"/>
    <w:rsid w:val="00DA1565"/>
    <w:rsid w:val="00DA7A03"/>
    <w:rsid w:val="00DB1818"/>
    <w:rsid w:val="00DC309B"/>
    <w:rsid w:val="00DC4DA2"/>
    <w:rsid w:val="00DE39FE"/>
    <w:rsid w:val="00DF01E9"/>
    <w:rsid w:val="00E042AE"/>
    <w:rsid w:val="00E225D4"/>
    <w:rsid w:val="00E35171"/>
    <w:rsid w:val="00E57ACD"/>
    <w:rsid w:val="00E62835"/>
    <w:rsid w:val="00E725F4"/>
    <w:rsid w:val="00E77645"/>
    <w:rsid w:val="00E802EE"/>
    <w:rsid w:val="00E83697"/>
    <w:rsid w:val="00E8437B"/>
    <w:rsid w:val="00EC4A25"/>
    <w:rsid w:val="00ED53C4"/>
    <w:rsid w:val="00EE57E9"/>
    <w:rsid w:val="00EF0AE0"/>
    <w:rsid w:val="00F025A2"/>
    <w:rsid w:val="00F03E42"/>
    <w:rsid w:val="00F07388"/>
    <w:rsid w:val="00F12344"/>
    <w:rsid w:val="00F2026E"/>
    <w:rsid w:val="00F2210A"/>
    <w:rsid w:val="00F2426C"/>
    <w:rsid w:val="00F37743"/>
    <w:rsid w:val="00F414C7"/>
    <w:rsid w:val="00F535D6"/>
    <w:rsid w:val="00F54A3D"/>
    <w:rsid w:val="00F653B8"/>
    <w:rsid w:val="00F71213"/>
    <w:rsid w:val="00F71B89"/>
    <w:rsid w:val="00F7353C"/>
    <w:rsid w:val="00F76F8F"/>
    <w:rsid w:val="00F947F0"/>
    <w:rsid w:val="00FA1266"/>
    <w:rsid w:val="00FA22E4"/>
    <w:rsid w:val="00FB48C4"/>
    <w:rsid w:val="00FC1192"/>
    <w:rsid w:val="00FC7349"/>
    <w:rsid w:val="00FC768B"/>
    <w:rsid w:val="00FD7E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34CCD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TFChar">
    <w:name w:val="TF Char"/>
    <w:basedOn w:val="DefaultParagraphFont"/>
    <w:link w:val="TF"/>
    <w:rsid w:val="002311DA"/>
    <w:rPr>
      <w:rFonts w:ascii="Arial" w:hAnsi="Arial"/>
      <w:b/>
      <w:lang w:eastAsia="en-US"/>
    </w:rPr>
  </w:style>
  <w:style w:type="character" w:customStyle="1" w:styleId="THChar">
    <w:name w:val="TH Char"/>
    <w:link w:val="TH"/>
    <w:rsid w:val="002311DA"/>
    <w:rPr>
      <w:rFonts w:ascii="Arial" w:hAnsi="Arial"/>
      <w:b/>
      <w:lang w:eastAsia="en-US"/>
    </w:rPr>
  </w:style>
  <w:style w:type="character" w:styleId="Mention">
    <w:name w:val="Mention"/>
    <w:basedOn w:val="DefaultParagraphFont"/>
    <w:uiPriority w:val="99"/>
    <w:semiHidden/>
    <w:unhideWhenUsed/>
    <w:rsid w:val="00431A4F"/>
    <w:rPr>
      <w:color w:val="2B579A"/>
      <w:shd w:val="clear" w:color="auto" w:fill="E6E6E6"/>
    </w:rPr>
  </w:style>
  <w:style w:type="table" w:styleId="TableGrid">
    <w:name w:val="Table Grid"/>
    <w:basedOn w:val="TableNormal"/>
    <w:rsid w:val="00F947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6D6C2F"/>
    <w:rPr>
      <w:rFonts w:ascii="Arial" w:eastAsia="MS Mincho" w:hAnsi="Arial" w:cs="Arial"/>
      <w:szCs w:val="24"/>
    </w:rPr>
  </w:style>
  <w:style w:type="paragraph" w:customStyle="1" w:styleId="Doc-text2">
    <w:name w:val="Doc-text2"/>
    <w:basedOn w:val="Normal"/>
    <w:link w:val="Doc-text2Char"/>
    <w:qFormat/>
    <w:rsid w:val="006D6C2F"/>
    <w:pPr>
      <w:tabs>
        <w:tab w:val="left" w:pos="1622"/>
      </w:tabs>
      <w:spacing w:after="0"/>
      <w:ind w:left="1622" w:hanging="363"/>
    </w:pPr>
    <w:rPr>
      <w:rFonts w:ascii="Arial" w:eastAsia="MS Mincho" w:hAnsi="Arial" w:cs="Arial"/>
      <w:szCs w:val="24"/>
      <w:lang w:eastAsia="en-GB"/>
    </w:rPr>
  </w:style>
  <w:style w:type="paragraph" w:styleId="BalloonText">
    <w:name w:val="Balloon Text"/>
    <w:basedOn w:val="Normal"/>
    <w:link w:val="BalloonTextChar"/>
    <w:rsid w:val="00AD6A89"/>
    <w:pPr>
      <w:spacing w:after="0"/>
    </w:pPr>
    <w:rPr>
      <w:rFonts w:ascii="Segoe UI" w:hAnsi="Segoe UI" w:cs="Segoe UI"/>
      <w:sz w:val="18"/>
      <w:szCs w:val="18"/>
    </w:rPr>
  </w:style>
  <w:style w:type="character" w:customStyle="1" w:styleId="BalloonTextChar">
    <w:name w:val="Balloon Text Char"/>
    <w:basedOn w:val="DefaultParagraphFont"/>
    <w:link w:val="BalloonText"/>
    <w:rsid w:val="00AD6A89"/>
    <w:rPr>
      <w:rFonts w:ascii="Segoe UI" w:hAnsi="Segoe UI" w:cs="Segoe UI"/>
      <w:sz w:val="18"/>
      <w:szCs w:val="18"/>
      <w:lang w:eastAsia="en-US"/>
    </w:rPr>
  </w:style>
  <w:style w:type="character" w:styleId="CommentReference">
    <w:name w:val="annotation reference"/>
    <w:basedOn w:val="DefaultParagraphFont"/>
    <w:rsid w:val="00314CDF"/>
    <w:rPr>
      <w:sz w:val="16"/>
      <w:szCs w:val="16"/>
    </w:rPr>
  </w:style>
  <w:style w:type="paragraph" w:styleId="CommentText">
    <w:name w:val="annotation text"/>
    <w:basedOn w:val="Normal"/>
    <w:link w:val="CommentTextChar"/>
    <w:rsid w:val="00314CDF"/>
  </w:style>
  <w:style w:type="character" w:customStyle="1" w:styleId="CommentTextChar">
    <w:name w:val="Comment Text Char"/>
    <w:basedOn w:val="DefaultParagraphFont"/>
    <w:link w:val="CommentText"/>
    <w:rsid w:val="00314CDF"/>
    <w:rPr>
      <w:lang w:eastAsia="en-US"/>
    </w:rPr>
  </w:style>
  <w:style w:type="paragraph" w:styleId="CommentSubject">
    <w:name w:val="annotation subject"/>
    <w:basedOn w:val="CommentText"/>
    <w:next w:val="CommentText"/>
    <w:link w:val="CommentSubjectChar"/>
    <w:rsid w:val="00314CDF"/>
    <w:rPr>
      <w:b/>
      <w:bCs/>
    </w:rPr>
  </w:style>
  <w:style w:type="character" w:customStyle="1" w:styleId="CommentSubjectChar">
    <w:name w:val="Comment Subject Char"/>
    <w:basedOn w:val="CommentTextChar"/>
    <w:link w:val="CommentSubject"/>
    <w:rsid w:val="00314CDF"/>
    <w:rPr>
      <w:b/>
      <w:bCs/>
      <w:lang w:eastAsia="en-US"/>
    </w:rPr>
  </w:style>
  <w:style w:type="paragraph" w:styleId="ListParagraph">
    <w:name w:val="List Paragraph"/>
    <w:basedOn w:val="Normal"/>
    <w:uiPriority w:val="34"/>
    <w:qFormat/>
    <w:rsid w:val="0038353E"/>
    <w:pPr>
      <w:ind w:left="720"/>
      <w:contextualSpacing/>
    </w:pPr>
  </w:style>
  <w:style w:type="character" w:customStyle="1" w:styleId="B2Char">
    <w:name w:val="B2 Char"/>
    <w:link w:val="B2"/>
    <w:rsid w:val="00F03E4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772867">
      <w:bodyDiv w:val="1"/>
      <w:marLeft w:val="0"/>
      <w:marRight w:val="0"/>
      <w:marTop w:val="0"/>
      <w:marBottom w:val="0"/>
      <w:divBdr>
        <w:top w:val="none" w:sz="0" w:space="0" w:color="auto"/>
        <w:left w:val="none" w:sz="0" w:space="0" w:color="auto"/>
        <w:bottom w:val="none" w:sz="0" w:space="0" w:color="auto"/>
        <w:right w:val="none" w:sz="0" w:space="0" w:color="auto"/>
      </w:divBdr>
    </w:div>
    <w:div w:id="599414714">
      <w:bodyDiv w:val="1"/>
      <w:marLeft w:val="0"/>
      <w:marRight w:val="0"/>
      <w:marTop w:val="0"/>
      <w:marBottom w:val="0"/>
      <w:divBdr>
        <w:top w:val="none" w:sz="0" w:space="0" w:color="auto"/>
        <w:left w:val="none" w:sz="0" w:space="0" w:color="auto"/>
        <w:bottom w:val="none" w:sz="0" w:space="0" w:color="auto"/>
        <w:right w:val="none" w:sz="0" w:space="0" w:color="auto"/>
      </w:divBdr>
      <w:divsChild>
        <w:div w:id="672488428">
          <w:marLeft w:val="720"/>
          <w:marRight w:val="0"/>
          <w:marTop w:val="0"/>
          <w:marBottom w:val="120"/>
          <w:divBdr>
            <w:top w:val="none" w:sz="0" w:space="0" w:color="auto"/>
            <w:left w:val="none" w:sz="0" w:space="0" w:color="auto"/>
            <w:bottom w:val="none" w:sz="0" w:space="0" w:color="auto"/>
            <w:right w:val="none" w:sz="0" w:space="0" w:color="auto"/>
          </w:divBdr>
        </w:div>
        <w:div w:id="1340615518">
          <w:marLeft w:val="994"/>
          <w:marRight w:val="0"/>
          <w:marTop w:val="0"/>
          <w:marBottom w:val="120"/>
          <w:divBdr>
            <w:top w:val="none" w:sz="0" w:space="0" w:color="auto"/>
            <w:left w:val="none" w:sz="0" w:space="0" w:color="auto"/>
            <w:bottom w:val="none" w:sz="0" w:space="0" w:color="auto"/>
            <w:right w:val="none" w:sz="0" w:space="0" w:color="auto"/>
          </w:divBdr>
        </w:div>
        <w:div w:id="1268658932">
          <w:marLeft w:val="994"/>
          <w:marRight w:val="0"/>
          <w:marTop w:val="0"/>
          <w:marBottom w:val="120"/>
          <w:divBdr>
            <w:top w:val="none" w:sz="0" w:space="0" w:color="auto"/>
            <w:left w:val="none" w:sz="0" w:space="0" w:color="auto"/>
            <w:bottom w:val="none" w:sz="0" w:space="0" w:color="auto"/>
            <w:right w:val="none" w:sz="0" w:space="0" w:color="auto"/>
          </w:divBdr>
        </w:div>
        <w:div w:id="1442217350">
          <w:marLeft w:val="994"/>
          <w:marRight w:val="0"/>
          <w:marTop w:val="0"/>
          <w:marBottom w:val="120"/>
          <w:divBdr>
            <w:top w:val="none" w:sz="0" w:space="0" w:color="auto"/>
            <w:left w:val="none" w:sz="0" w:space="0" w:color="auto"/>
            <w:bottom w:val="none" w:sz="0" w:space="0" w:color="auto"/>
            <w:right w:val="none" w:sz="0" w:space="0" w:color="auto"/>
          </w:divBdr>
        </w:div>
      </w:divsChild>
    </w:div>
    <w:div w:id="1203713657">
      <w:bodyDiv w:val="1"/>
      <w:marLeft w:val="0"/>
      <w:marRight w:val="0"/>
      <w:marTop w:val="0"/>
      <w:marBottom w:val="0"/>
      <w:divBdr>
        <w:top w:val="none" w:sz="0" w:space="0" w:color="auto"/>
        <w:left w:val="none" w:sz="0" w:space="0" w:color="auto"/>
        <w:bottom w:val="none" w:sz="0" w:space="0" w:color="auto"/>
        <w:right w:val="none" w:sz="0" w:space="0" w:color="auto"/>
      </w:divBdr>
    </w:div>
    <w:div w:id="188968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SP-5AIRPNAIUNRU-859666464-236</_dlc_DocId>
    <_dlc_DocIdUrl xmlns="71c5aaf6-e6ce-465b-b873-5148d2a4c105">
      <Url>https://nokia.sharepoint.com/sites/c5g/e2earch/_layouts/15/DocIdRedir.aspx?ID=SP-5AIRPNAIUNRU-859666464-236</Url>
      <Description>SP-5AIRPNAIUNRU-859666464-236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EEB22-559A-4176-BB6B-C668AC280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D2D7C9-7EF0-455A-86B2-30C6B6D37EA6}">
  <ds:schemaRefs>
    <ds:schemaRef ds:uri="http://schemas.microsoft.com/sharepoint/events"/>
  </ds:schemaRefs>
</ds:datastoreItem>
</file>

<file path=customXml/itemProps3.xml><?xml version="1.0" encoding="utf-8"?>
<ds:datastoreItem xmlns:ds="http://schemas.openxmlformats.org/officeDocument/2006/customXml" ds:itemID="{9BE4B4F9-BD68-4ABB-8185-A2339E936D5A}">
  <ds:schemaRefs>
    <ds:schemaRef ds:uri="http://schemas.microsoft.com/sharepoint/v3/contenttype/forms"/>
  </ds:schemaRefs>
</ds:datastoreItem>
</file>

<file path=customXml/itemProps4.xml><?xml version="1.0" encoding="utf-8"?>
<ds:datastoreItem xmlns:ds="http://schemas.openxmlformats.org/officeDocument/2006/customXml" ds:itemID="{24AAB881-FE0C-4BAC-B645-34A2429153D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603B3AA-822E-44E5-AD33-005AFC0E4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156</TotalTime>
  <Pages>4</Pages>
  <Words>1053</Words>
  <Characters>6004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7043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Viering, Ingo (EXT - DE/Munich)</dc:creator>
  <cp:lastModifiedBy>Dawid Koziol</cp:lastModifiedBy>
  <cp:revision>7</cp:revision>
  <dcterms:created xsi:type="dcterms:W3CDTF">2018-02-14T12:26:00Z</dcterms:created>
  <dcterms:modified xsi:type="dcterms:W3CDTF">2018-02-16T07:11:00Z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97b3ace1-1747-454e-abb6-ea0cbd6ab5f0</vt:lpwstr>
  </property>
</Properties>
</file>